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4200" w14:textId="77777777" w:rsidR="00B43A31" w:rsidRPr="00AE7C3E" w:rsidRDefault="00B43A31" w:rsidP="001F2557">
      <w:pPr>
        <w:shd w:val="clear" w:color="auto" w:fill="FFFFFF"/>
        <w:spacing w:after="0"/>
        <w:textAlignment w:val="baseline"/>
        <w:rPr>
          <w:rFonts w:ascii="Calibri" w:eastAsia="Times New Roman" w:hAnsi="Calibri" w:cs="Calibri"/>
          <w:b/>
          <w:iCs/>
          <w:bdr w:val="none" w:sz="0" w:space="0" w:color="auto" w:frame="1"/>
          <w:lang w:val="en-GB" w:eastAsia="sv-SE"/>
        </w:rPr>
      </w:pPr>
      <w:r w:rsidRPr="00AE7C3E">
        <w:rPr>
          <w:rFonts w:ascii="Calibri" w:eastAsia="Times New Roman" w:hAnsi="Calibri" w:cs="Calibri"/>
          <w:b/>
          <w:iCs/>
          <w:bdr w:val="none" w:sz="0" w:space="0" w:color="auto" w:frame="1"/>
          <w:lang w:val="en-GB" w:eastAsia="sv-SE"/>
        </w:rPr>
        <w:t>What may count as a credit bearing seminar, journal club and/or academic workshop at the department of LIME</w:t>
      </w:r>
      <w:r w:rsidR="00DE366B" w:rsidRPr="00AE7C3E">
        <w:rPr>
          <w:rFonts w:ascii="Calibri" w:eastAsia="Times New Roman" w:hAnsi="Calibri" w:cs="Calibri"/>
          <w:b/>
          <w:iCs/>
          <w:bdr w:val="none" w:sz="0" w:space="0" w:color="auto" w:frame="1"/>
          <w:lang w:val="en-GB" w:eastAsia="sv-SE"/>
        </w:rPr>
        <w:t>?</w:t>
      </w:r>
    </w:p>
    <w:p w14:paraId="4D2AA36F" w14:textId="77777777" w:rsidR="00B43A31" w:rsidRPr="00AE7C3E" w:rsidRDefault="00B43A31" w:rsidP="001F2557">
      <w:pPr>
        <w:shd w:val="clear" w:color="auto" w:fill="FFFFFF"/>
        <w:spacing w:after="0"/>
        <w:textAlignment w:val="baseline"/>
        <w:rPr>
          <w:rFonts w:ascii="Calibri" w:eastAsia="Times New Roman" w:hAnsi="Calibri" w:cs="Calibri"/>
          <w:i/>
          <w:iCs/>
          <w:bdr w:val="none" w:sz="0" w:space="0" w:color="auto" w:frame="1"/>
          <w:lang w:val="en-GB" w:eastAsia="sv-SE"/>
        </w:rPr>
      </w:pPr>
    </w:p>
    <w:p w14:paraId="77CCC452" w14:textId="77777777" w:rsidR="001F2557" w:rsidRPr="009806CA" w:rsidRDefault="006F2126" w:rsidP="001F2557">
      <w:pPr>
        <w:shd w:val="clear" w:color="auto" w:fill="FFFFFF"/>
        <w:spacing w:after="0"/>
        <w:textAlignment w:val="baseline"/>
        <w:rPr>
          <w:rFonts w:ascii="Calibri" w:eastAsia="Times New Roman" w:hAnsi="Calibri" w:cs="Calibri"/>
          <w:bdr w:val="none" w:sz="0" w:space="0" w:color="auto" w:frame="1"/>
          <w:lang w:val="en-GB" w:eastAsia="sv-SE"/>
        </w:rPr>
      </w:pP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A d</w:t>
      </w:r>
      <w:r w:rsidR="001A1D62" w:rsidRPr="009806CA">
        <w:rPr>
          <w:rFonts w:ascii="Calibri" w:eastAsia="Times New Roman" w:hAnsi="Calibri" w:cs="Calibri"/>
          <w:lang w:val="en-GB" w:eastAsia="sv-SE"/>
        </w:rPr>
        <w:t xml:space="preserve">octoral student applies for </w:t>
      </w:r>
      <w:r w:rsidR="001A1D62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credits on form 16 “Reporting 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credit-</w:t>
      </w:r>
      <w:r w:rsidR="001A1D62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bearing activities”</w:t>
      </w:r>
      <w:r w:rsidR="002348EF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;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together with attached </w:t>
      </w:r>
      <w:r w:rsidR="001A1D62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documentation verifying </w:t>
      </w:r>
      <w:r w:rsidR="000E64E2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the doctoral student</w:t>
      </w:r>
      <w:r w:rsidR="00B43A31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’</w:t>
      </w:r>
      <w:r w:rsidR="000E64E2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s </w:t>
      </w:r>
      <w:r w:rsidR="001A1D62" w:rsidRPr="009806CA">
        <w:rPr>
          <w:rFonts w:ascii="Calibri" w:eastAsia="Times New Roman" w:hAnsi="Calibri" w:cs="Calibri"/>
          <w:i/>
          <w:bdr w:val="none" w:sz="0" w:space="0" w:color="auto" w:frame="1"/>
          <w:lang w:val="en-GB" w:eastAsia="sv-SE"/>
        </w:rPr>
        <w:t>active participation</w:t>
      </w:r>
      <w:r w:rsidR="001A1D62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in the </w:t>
      </w:r>
      <w:r w:rsidR="00DE366B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seminar (i.e. research </w:t>
      </w:r>
      <w:r w:rsidR="001A1D62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seminar</w:t>
      </w:r>
      <w:r w:rsidR="00B43A31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, journal club and/or academic workshop</w:t>
      </w:r>
      <w:r w:rsidR="00DE366B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), a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nd</w:t>
      </w:r>
      <w:r w:rsidR="000E64E2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an</w:t>
      </w:r>
      <w:r w:rsidR="002348EF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approximation of the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number of hours</w:t>
      </w:r>
      <w:r w:rsidR="002348EF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that the doctoral student has participated</w:t>
      </w:r>
      <w:r w:rsidR="00DE366B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,</w:t>
      </w:r>
      <w:r w:rsidR="001A1D62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signed by the principal supervisor or person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(s)</w:t>
      </w:r>
      <w:r w:rsidR="00F353B5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responsible for the </w:t>
      </w:r>
      <w:r w:rsidR="00B43A31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activity</w:t>
      </w:r>
      <w:r w:rsidR="001A1D62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. 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The director of doctoral </w:t>
      </w:r>
      <w:r w:rsidR="00B43A31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education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makes the decision whether the application should be approved or not.</w:t>
      </w:r>
      <w:r w:rsidR="00D30BE7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</w:t>
      </w:r>
      <w:r w:rsidR="008A116E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br/>
      </w:r>
    </w:p>
    <w:p w14:paraId="05946651" w14:textId="77777777" w:rsidR="001F2557" w:rsidRPr="009806CA" w:rsidRDefault="00D30BE7" w:rsidP="001F2557">
      <w:pPr>
        <w:shd w:val="clear" w:color="auto" w:fill="FFFFFF"/>
        <w:spacing w:after="0"/>
        <w:textAlignment w:val="baseline"/>
        <w:rPr>
          <w:rFonts w:ascii="Calibri" w:eastAsia="Times New Roman" w:hAnsi="Calibri" w:cs="Calibri"/>
          <w:bdr w:val="none" w:sz="0" w:space="0" w:color="auto" w:frame="1"/>
          <w:lang w:val="en-GB" w:eastAsia="sv-SE"/>
        </w:rPr>
      </w:pP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Please also note that:</w:t>
      </w:r>
    </w:p>
    <w:p w14:paraId="2925F3E4" w14:textId="77777777" w:rsidR="001F2557" w:rsidRPr="009806CA" w:rsidRDefault="001F2557" w:rsidP="001F2557">
      <w:pPr>
        <w:shd w:val="clear" w:color="auto" w:fill="FFFFFF"/>
        <w:spacing w:after="0"/>
        <w:textAlignment w:val="baseline"/>
        <w:rPr>
          <w:rFonts w:ascii="Calibri" w:eastAsia="Times New Roman" w:hAnsi="Calibri" w:cs="Calibri"/>
          <w:bdr w:val="none" w:sz="0" w:space="0" w:color="auto" w:frame="1"/>
          <w:lang w:val="en-GB" w:eastAsia="sv-SE"/>
        </w:rPr>
      </w:pPr>
    </w:p>
    <w:p w14:paraId="300A29BA" w14:textId="02AFE3A9" w:rsidR="001F2557" w:rsidRPr="009806CA" w:rsidRDefault="008A116E" w:rsidP="001F2557">
      <w:pPr>
        <w:pStyle w:val="Liststycke"/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Calibri" w:eastAsia="Times New Roman" w:hAnsi="Calibri" w:cs="Calibri"/>
          <w:bdr w:val="none" w:sz="0" w:space="0" w:color="auto" w:frame="1"/>
          <w:lang w:val="en-GB" w:eastAsia="sv-SE"/>
        </w:rPr>
      </w:pP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A minimum of 1.5 credits for seminars is mandatory. </w:t>
      </w:r>
      <w:r w:rsidR="00D30BE7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1.5 credits </w:t>
      </w:r>
      <w:r w:rsidR="00954918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are</w:t>
      </w:r>
      <w:r w:rsidR="00D30BE7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equivalent to 40 hours work, including participation and preparation time. According to the general syllabus it is possible to get 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1 - 1.5 </w:t>
      </w:r>
      <w:r w:rsidR="003056E2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credits for seminars per term (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maximum 6 credits</w:t>
      </w:r>
      <w:r w:rsidR="003056E2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)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. </w:t>
      </w:r>
    </w:p>
    <w:p w14:paraId="10EF8B61" w14:textId="77777777" w:rsidR="001F2557" w:rsidRPr="009806CA" w:rsidRDefault="001F2557" w:rsidP="001F2557">
      <w:pPr>
        <w:shd w:val="clear" w:color="auto" w:fill="FFFFFF"/>
        <w:spacing w:after="0"/>
        <w:textAlignment w:val="baseline"/>
        <w:rPr>
          <w:rFonts w:ascii="Calibri" w:eastAsia="Times New Roman" w:hAnsi="Calibri" w:cs="Calibri"/>
          <w:bdr w:val="none" w:sz="0" w:space="0" w:color="auto" w:frame="1"/>
          <w:lang w:val="en-GB" w:eastAsia="sv-SE"/>
        </w:rPr>
      </w:pPr>
    </w:p>
    <w:p w14:paraId="50C2D4AA" w14:textId="77777777" w:rsidR="001F2557" w:rsidRPr="009806CA" w:rsidRDefault="00806911" w:rsidP="001F2557">
      <w:pPr>
        <w:pStyle w:val="Liststycke"/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Calibri" w:eastAsia="Times New Roman" w:hAnsi="Calibri" w:cs="Calibri"/>
          <w:lang w:val="en-GB" w:eastAsia="sv-SE"/>
        </w:rPr>
      </w:pP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It is important that the seminar</w:t>
      </w:r>
      <w:r w:rsidR="00D108AB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</w:t>
      </w:r>
      <w:r w:rsidR="00705041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is </w:t>
      </w:r>
      <w:r w:rsidR="001A06BE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of relevance </w:t>
      </w:r>
      <w:r w:rsidR="00D108AB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to the doctoral student’s research subject </w:t>
      </w:r>
      <w:r w:rsidR="008A116E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or</w:t>
      </w:r>
      <w:r w:rsidR="00D108AB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medical science i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n</w:t>
      </w:r>
      <w:r w:rsidR="00E40451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general</w:t>
      </w:r>
      <w:r w:rsidR="00705041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,</w:t>
      </w:r>
      <w:r w:rsidR="00E40451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e.g. 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scientific </w:t>
      </w:r>
      <w:r w:rsidR="00D108AB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methods, philosophy o</w:t>
      </w:r>
      <w:r w:rsidR="00BA441A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f science, </w:t>
      </w:r>
      <w:r w:rsidR="00E40451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research ethics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. </w:t>
      </w:r>
    </w:p>
    <w:p w14:paraId="5D656216" w14:textId="77777777" w:rsidR="001F2557" w:rsidRPr="009806CA" w:rsidRDefault="001F2557" w:rsidP="001F2557">
      <w:pPr>
        <w:shd w:val="clear" w:color="auto" w:fill="FFFFFF"/>
        <w:spacing w:after="0"/>
        <w:textAlignment w:val="baseline"/>
        <w:rPr>
          <w:rFonts w:ascii="Calibri" w:eastAsia="Times New Roman" w:hAnsi="Calibri" w:cs="Calibri"/>
          <w:lang w:val="en-GB" w:eastAsia="sv-SE"/>
        </w:rPr>
      </w:pPr>
    </w:p>
    <w:p w14:paraId="1570C827" w14:textId="70AC8485" w:rsidR="001F2557" w:rsidRPr="009806CA" w:rsidRDefault="00806911" w:rsidP="001F2557">
      <w:pPr>
        <w:pStyle w:val="Liststycke"/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Calibri" w:eastAsia="Times New Roman" w:hAnsi="Calibri" w:cs="Calibri"/>
          <w:lang w:val="en-GB" w:eastAsia="sv-SE"/>
        </w:rPr>
      </w:pP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It is </w:t>
      </w:r>
      <w:r w:rsidR="00E40451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also 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important that the seminar invites </w:t>
      </w:r>
      <w:r w:rsidR="00777467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many people </w:t>
      </w:r>
      <w:r w:rsidR="00954918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for</w:t>
      </w:r>
      <w:r w:rsidR="00777467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it to be a credit-bearing activity.</w:t>
      </w:r>
      <w:r w:rsidR="00E40451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A discussion between</w:t>
      </w:r>
      <w:r w:rsidR="00BA441A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only</w:t>
      </w:r>
      <w:r w:rsidR="00E40451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the doctoral student and </w:t>
      </w:r>
      <w:r w:rsidR="00116A85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the </w:t>
      </w:r>
      <w:r w:rsidR="00E40451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supervisor</w:t>
      </w:r>
      <w:r w:rsidR="00116A85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s</w:t>
      </w:r>
      <w:r w:rsidR="00E40451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is not to be counted as a credit-bearing seminar.</w:t>
      </w:r>
    </w:p>
    <w:p w14:paraId="22BB31B3" w14:textId="77777777" w:rsidR="001F2557" w:rsidRPr="009806CA" w:rsidRDefault="001F2557" w:rsidP="001F2557">
      <w:pPr>
        <w:shd w:val="clear" w:color="auto" w:fill="FFFFFF"/>
        <w:spacing w:after="0"/>
        <w:textAlignment w:val="baseline"/>
        <w:rPr>
          <w:rFonts w:ascii="Calibri" w:eastAsia="Times New Roman" w:hAnsi="Calibri" w:cs="Calibri"/>
          <w:lang w:val="en-GB" w:eastAsia="sv-SE"/>
        </w:rPr>
      </w:pPr>
    </w:p>
    <w:p w14:paraId="026E55FB" w14:textId="77777777" w:rsidR="001F2557" w:rsidRPr="009806CA" w:rsidRDefault="00777467" w:rsidP="001F2557">
      <w:pPr>
        <w:pStyle w:val="Liststycke"/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Calibri" w:eastAsia="Times New Roman" w:hAnsi="Calibri" w:cs="Calibri"/>
          <w:lang w:val="en-GB" w:eastAsia="sv-SE"/>
        </w:rPr>
      </w:pP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Workplace meetings - concerning for instance work environment - is not </w:t>
      </w:r>
      <w:r w:rsidR="00E40451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to be counted as credit-bearing 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seminars.</w:t>
      </w:r>
    </w:p>
    <w:p w14:paraId="5DE52944" w14:textId="77777777" w:rsidR="001F2557" w:rsidRPr="009806CA" w:rsidRDefault="001F2557" w:rsidP="001F2557">
      <w:pPr>
        <w:shd w:val="clear" w:color="auto" w:fill="FFFFFF"/>
        <w:spacing w:after="0"/>
        <w:textAlignment w:val="baseline"/>
        <w:rPr>
          <w:rFonts w:ascii="Calibri" w:eastAsia="Times New Roman" w:hAnsi="Calibri" w:cs="Calibri"/>
          <w:lang w:val="en-GB" w:eastAsia="sv-SE"/>
        </w:rPr>
      </w:pPr>
    </w:p>
    <w:p w14:paraId="3B6D008E" w14:textId="77777777" w:rsidR="00705041" w:rsidRPr="009806CA" w:rsidRDefault="00E40451" w:rsidP="001F2557">
      <w:pPr>
        <w:pStyle w:val="Liststycke"/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Calibri" w:eastAsia="Times New Roman" w:hAnsi="Calibri" w:cs="Calibri"/>
          <w:lang w:val="en-GB" w:eastAsia="sv-SE"/>
        </w:rPr>
      </w:pP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S</w:t>
      </w:r>
      <w:r w:rsidR="00D108AB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ometimes 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(but not often) </w:t>
      </w:r>
      <w:r w:rsidR="00777467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doctoral students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are promised</w:t>
      </w:r>
      <w:r w:rsidR="00777467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</w:t>
      </w:r>
      <w:r w:rsidR="00D108AB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credits for </w:t>
      </w:r>
      <w:r w:rsidR="00777467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participating in 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a “course” that lacks examination and a syllabus. Such a “course” is not actually a course according to KI rules, and it will </w:t>
      </w:r>
      <w:r w:rsidR="002348EF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therefore 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not be possible to get credit</w:t>
      </w:r>
      <w:r w:rsidR="002348EF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s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for such a </w:t>
      </w:r>
      <w:r w:rsidR="000749BD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“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course</w:t>
      </w:r>
      <w:r w:rsidR="000749BD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”</w:t>
      </w:r>
      <w:r w:rsidR="00116A85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as a course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. </w:t>
      </w:r>
      <w:r w:rsidR="00B43A31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However,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if it </w:t>
      </w:r>
      <w:r w:rsidR="00116A85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is 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reasonable to say that </w:t>
      </w:r>
      <w:r w:rsidR="00F353B5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the “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course</w:t>
      </w:r>
      <w:r w:rsidR="00F353B5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”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 </w:t>
      </w:r>
      <w:r w:rsidR="00F353B5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could 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be considered as </w:t>
      </w:r>
      <w:r w:rsidR="002348EF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 xml:space="preserve">a 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series of research seminars, journal clubs or academic workshops, it may be possible to get credits for active participation in seminar</w:t>
      </w:r>
      <w:r w:rsidR="00116A85"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s</w:t>
      </w:r>
      <w:r w:rsidRPr="009806CA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t>.</w:t>
      </w:r>
    </w:p>
    <w:p w14:paraId="5FBB12D0" w14:textId="77777777" w:rsidR="004A0CED" w:rsidRPr="009806CA" w:rsidRDefault="004A0CED" w:rsidP="004A0CED">
      <w:pPr>
        <w:pStyle w:val="Liststycke"/>
        <w:rPr>
          <w:rFonts w:ascii="Calibri" w:eastAsia="Times New Roman" w:hAnsi="Calibri" w:cs="Calibri"/>
          <w:lang w:val="en-GB" w:eastAsia="sv-SE"/>
        </w:rPr>
      </w:pPr>
    </w:p>
    <w:p w14:paraId="26CD9D7D" w14:textId="6CE2FD88" w:rsidR="004A0CED" w:rsidRPr="009806CA" w:rsidRDefault="004A0CED" w:rsidP="004A0CED">
      <w:pPr>
        <w:pStyle w:val="Liststycke"/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Calibri" w:eastAsia="Times New Roman" w:hAnsi="Calibri" w:cs="Calibri"/>
          <w:lang w:val="en-GB" w:eastAsia="sv-SE"/>
        </w:rPr>
      </w:pPr>
      <w:r w:rsidRPr="009806CA">
        <w:rPr>
          <w:rFonts w:ascii="Calibri" w:eastAsia="Times New Roman" w:hAnsi="Calibri" w:cs="Calibri"/>
          <w:lang w:val="en-GB" w:eastAsia="sv-SE"/>
        </w:rPr>
        <w:t>It is also possible that some of the work for the department could be counted as credit</w:t>
      </w:r>
      <w:r w:rsidR="009806CA" w:rsidRPr="009806CA">
        <w:rPr>
          <w:rFonts w:ascii="Calibri" w:eastAsia="Times New Roman" w:hAnsi="Calibri" w:cs="Calibri"/>
          <w:lang w:val="en-GB" w:eastAsia="sv-SE"/>
        </w:rPr>
        <w:t>-</w:t>
      </w:r>
      <w:r w:rsidRPr="009806CA">
        <w:rPr>
          <w:rFonts w:ascii="Calibri" w:eastAsia="Times New Roman" w:hAnsi="Calibri" w:cs="Calibri"/>
          <w:lang w:val="en-GB" w:eastAsia="sv-SE"/>
        </w:rPr>
        <w:t>bearing</w:t>
      </w:r>
      <w:r w:rsidR="009806CA" w:rsidRPr="009806CA">
        <w:rPr>
          <w:rFonts w:ascii="Calibri" w:eastAsia="Times New Roman" w:hAnsi="Calibri" w:cs="Calibri"/>
          <w:lang w:val="en-GB" w:eastAsia="sv-SE"/>
        </w:rPr>
        <w:t xml:space="preserve"> </w:t>
      </w:r>
      <w:r w:rsidRPr="009806CA">
        <w:rPr>
          <w:rFonts w:ascii="Calibri" w:eastAsia="Times New Roman" w:hAnsi="Calibri" w:cs="Calibri"/>
          <w:lang w:val="en-GB" w:eastAsia="sv-SE"/>
        </w:rPr>
        <w:t xml:space="preserve">seminars. For instance, participation as a doctoral student representative in the Board for Doctoral Education at LIME (FUN), and participation in academic activities implemented by LIME </w:t>
      </w:r>
      <w:r w:rsidR="006875CD">
        <w:rPr>
          <w:rFonts w:ascii="Calibri" w:eastAsia="Times New Roman" w:hAnsi="Calibri" w:cs="Calibri"/>
          <w:lang w:val="en-GB" w:eastAsia="sv-SE"/>
        </w:rPr>
        <w:t>Doctoral Student Council</w:t>
      </w:r>
      <w:r w:rsidR="00FC78A0">
        <w:rPr>
          <w:rFonts w:ascii="Calibri" w:eastAsia="Times New Roman" w:hAnsi="Calibri" w:cs="Calibri"/>
          <w:lang w:val="en-GB" w:eastAsia="sv-SE"/>
        </w:rPr>
        <w:t>.</w:t>
      </w:r>
    </w:p>
    <w:p w14:paraId="391F9BC7" w14:textId="77777777" w:rsidR="00087742" w:rsidRPr="009806CA" w:rsidRDefault="00087742" w:rsidP="004A0CED">
      <w:pPr>
        <w:rPr>
          <w:rFonts w:ascii="Calibri" w:eastAsia="Times New Roman" w:hAnsi="Calibri" w:cs="Calibri"/>
          <w:lang w:val="en-GB" w:eastAsia="sv-SE"/>
        </w:rPr>
      </w:pPr>
    </w:p>
    <w:p w14:paraId="0CA7F331" w14:textId="48E431E8" w:rsidR="00087742" w:rsidRPr="009806CA" w:rsidRDefault="004A0CED" w:rsidP="001F2557">
      <w:pPr>
        <w:pStyle w:val="Liststycke"/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Calibri" w:eastAsia="Times New Roman" w:hAnsi="Calibri" w:cs="Calibri"/>
          <w:lang w:val="en-GB" w:eastAsia="sv-SE"/>
        </w:rPr>
      </w:pPr>
      <w:r w:rsidRPr="009806CA">
        <w:rPr>
          <w:rFonts w:ascii="Calibri" w:eastAsia="Times New Roman" w:hAnsi="Calibri" w:cs="Calibri"/>
          <w:lang w:val="en-GB" w:eastAsia="sv-SE"/>
        </w:rPr>
        <w:t xml:space="preserve">For more information </w:t>
      </w:r>
      <w:r w:rsidR="00087742" w:rsidRPr="009806CA">
        <w:rPr>
          <w:rFonts w:ascii="Calibri" w:eastAsia="Times New Roman" w:hAnsi="Calibri" w:cs="Calibri"/>
          <w:lang w:val="en-GB" w:eastAsia="sv-SE"/>
        </w:rPr>
        <w:t>concerning seminars and credits</w:t>
      </w:r>
      <w:r w:rsidRPr="009806CA">
        <w:rPr>
          <w:rFonts w:ascii="Calibri" w:eastAsia="Times New Roman" w:hAnsi="Calibri" w:cs="Calibri"/>
          <w:lang w:val="en-GB" w:eastAsia="sv-SE"/>
        </w:rPr>
        <w:t xml:space="preserve">, </w:t>
      </w:r>
      <w:r w:rsidR="00087742" w:rsidRPr="009806CA">
        <w:rPr>
          <w:rFonts w:ascii="Calibri" w:eastAsia="Times New Roman" w:hAnsi="Calibri" w:cs="Calibri"/>
          <w:lang w:val="en-GB" w:eastAsia="sv-SE"/>
        </w:rPr>
        <w:t>contact the director of doctoral education</w:t>
      </w:r>
      <w:r w:rsidRPr="009806CA">
        <w:rPr>
          <w:rFonts w:ascii="Calibri" w:eastAsia="Times New Roman" w:hAnsi="Calibri" w:cs="Calibri"/>
          <w:lang w:val="en-GB" w:eastAsia="sv-SE"/>
        </w:rPr>
        <w:t xml:space="preserve"> at LIME</w:t>
      </w:r>
      <w:r w:rsidR="00087742" w:rsidRPr="009806CA">
        <w:rPr>
          <w:rFonts w:ascii="Calibri" w:eastAsia="Times New Roman" w:hAnsi="Calibri" w:cs="Calibri"/>
          <w:lang w:val="en-GB" w:eastAsia="sv-SE"/>
        </w:rPr>
        <w:t xml:space="preserve">: </w:t>
      </w:r>
      <w:r w:rsidR="00542E88">
        <w:rPr>
          <w:rFonts w:ascii="Calibri" w:eastAsia="Times New Roman" w:hAnsi="Calibri" w:cs="Calibri"/>
          <w:u w:val="single"/>
          <w:lang w:val="en-GB" w:eastAsia="sv-SE"/>
        </w:rPr>
        <w:t>per.palmgren</w:t>
      </w:r>
      <w:r w:rsidR="00087742" w:rsidRPr="009806CA">
        <w:rPr>
          <w:rFonts w:ascii="Calibri" w:eastAsia="Times New Roman" w:hAnsi="Calibri" w:cs="Calibri"/>
          <w:u w:val="single"/>
          <w:lang w:val="en-GB" w:eastAsia="sv-SE"/>
        </w:rPr>
        <w:t>@ki.se</w:t>
      </w:r>
    </w:p>
    <w:p w14:paraId="222966BC" w14:textId="4A5DA07C" w:rsidR="00C44857" w:rsidRPr="00B43A31" w:rsidRDefault="00D108AB" w:rsidP="004A0CED">
      <w:pPr>
        <w:pStyle w:val="Liststycke"/>
        <w:shd w:val="clear" w:color="auto" w:fill="FFFFFF"/>
        <w:spacing w:after="0"/>
        <w:textAlignment w:val="baseline"/>
        <w:rPr>
          <w:i/>
          <w:sz w:val="16"/>
          <w:szCs w:val="16"/>
          <w:lang w:val="en-GB"/>
        </w:rPr>
      </w:pPr>
      <w:r w:rsidRPr="00AE7C3E">
        <w:rPr>
          <w:rFonts w:ascii="Calibri" w:eastAsia="Times New Roman" w:hAnsi="Calibri" w:cs="Calibri"/>
          <w:bdr w:val="none" w:sz="0" w:space="0" w:color="auto" w:frame="1"/>
          <w:lang w:val="en-GB" w:eastAsia="sv-SE"/>
        </w:rPr>
        <w:br/>
      </w:r>
      <w:r w:rsidR="00542E88">
        <w:rPr>
          <w:i/>
          <w:sz w:val="16"/>
          <w:szCs w:val="16"/>
          <w:lang w:val="en-GB"/>
        </w:rPr>
        <w:t>August 2023</w:t>
      </w:r>
    </w:p>
    <w:sectPr w:rsidR="00C44857" w:rsidRPr="00B43A31" w:rsidSect="00E83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E49B" w14:textId="77777777" w:rsidR="0013425A" w:rsidRDefault="0013425A" w:rsidP="00D108AB">
      <w:pPr>
        <w:spacing w:after="0" w:line="240" w:lineRule="auto"/>
      </w:pPr>
      <w:r>
        <w:separator/>
      </w:r>
    </w:p>
  </w:endnote>
  <w:endnote w:type="continuationSeparator" w:id="0">
    <w:p w14:paraId="440FB5A4" w14:textId="77777777" w:rsidR="0013425A" w:rsidRDefault="0013425A" w:rsidP="00D1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3AF8C" w14:textId="77777777" w:rsidR="0013425A" w:rsidRDefault="0013425A" w:rsidP="00D108AB">
      <w:pPr>
        <w:spacing w:after="0" w:line="240" w:lineRule="auto"/>
      </w:pPr>
      <w:r>
        <w:separator/>
      </w:r>
    </w:p>
  </w:footnote>
  <w:footnote w:type="continuationSeparator" w:id="0">
    <w:p w14:paraId="62205D68" w14:textId="77777777" w:rsidR="0013425A" w:rsidRDefault="0013425A" w:rsidP="00D10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023D1"/>
    <w:multiLevelType w:val="multilevel"/>
    <w:tmpl w:val="79F8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B63ED2"/>
    <w:multiLevelType w:val="hybridMultilevel"/>
    <w:tmpl w:val="6E30B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C798E"/>
    <w:multiLevelType w:val="hybridMultilevel"/>
    <w:tmpl w:val="0C6275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1684A"/>
    <w:multiLevelType w:val="hybridMultilevel"/>
    <w:tmpl w:val="556C93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848456">
    <w:abstractNumId w:val="1"/>
  </w:num>
  <w:num w:numId="2" w16cid:durableId="867722941">
    <w:abstractNumId w:val="0"/>
  </w:num>
  <w:num w:numId="3" w16cid:durableId="335109179">
    <w:abstractNumId w:val="2"/>
  </w:num>
  <w:num w:numId="4" w16cid:durableId="714045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88"/>
    <w:rsid w:val="00057A76"/>
    <w:rsid w:val="000749BD"/>
    <w:rsid w:val="00087742"/>
    <w:rsid w:val="000E64E2"/>
    <w:rsid w:val="00116A85"/>
    <w:rsid w:val="0013425A"/>
    <w:rsid w:val="001A06BE"/>
    <w:rsid w:val="001A1D62"/>
    <w:rsid w:val="001F2557"/>
    <w:rsid w:val="002348EF"/>
    <w:rsid w:val="002422D8"/>
    <w:rsid w:val="002B657B"/>
    <w:rsid w:val="003056E2"/>
    <w:rsid w:val="00397CBC"/>
    <w:rsid w:val="004307B3"/>
    <w:rsid w:val="004A0CED"/>
    <w:rsid w:val="00542E88"/>
    <w:rsid w:val="00634188"/>
    <w:rsid w:val="00640128"/>
    <w:rsid w:val="006875CD"/>
    <w:rsid w:val="006F2126"/>
    <w:rsid w:val="00705041"/>
    <w:rsid w:val="00777467"/>
    <w:rsid w:val="00806911"/>
    <w:rsid w:val="00867FFA"/>
    <w:rsid w:val="008A116E"/>
    <w:rsid w:val="008F3D20"/>
    <w:rsid w:val="00954918"/>
    <w:rsid w:val="009806CA"/>
    <w:rsid w:val="009F7A49"/>
    <w:rsid w:val="00A5056B"/>
    <w:rsid w:val="00AE229C"/>
    <w:rsid w:val="00AE7C3E"/>
    <w:rsid w:val="00B43A31"/>
    <w:rsid w:val="00BA441A"/>
    <w:rsid w:val="00C10B1B"/>
    <w:rsid w:val="00D108AB"/>
    <w:rsid w:val="00D30BE7"/>
    <w:rsid w:val="00DC343B"/>
    <w:rsid w:val="00DE366B"/>
    <w:rsid w:val="00DF3402"/>
    <w:rsid w:val="00E40451"/>
    <w:rsid w:val="00E469C5"/>
    <w:rsid w:val="00E83F9A"/>
    <w:rsid w:val="00E97789"/>
    <w:rsid w:val="00F353B5"/>
    <w:rsid w:val="00FC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E69D"/>
  <w15:docId w15:val="{5100D038-F40C-49C4-8F03-A5C546B3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8AB"/>
    <w:pPr>
      <w:spacing w:after="200" w:line="276" w:lineRule="auto"/>
    </w:pPr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108A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108AB"/>
    <w:rPr>
      <w:color w:val="0563C1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108AB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108AB"/>
    <w:rPr>
      <w:sz w:val="20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D10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Karolinska Institutet, LIME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Månsson</dc:creator>
  <cp:lastModifiedBy>Ingrid Smedberg</cp:lastModifiedBy>
  <cp:revision>5</cp:revision>
  <dcterms:created xsi:type="dcterms:W3CDTF">2023-08-28T10:55:00Z</dcterms:created>
  <dcterms:modified xsi:type="dcterms:W3CDTF">2023-08-28T10:57:00Z</dcterms:modified>
</cp:coreProperties>
</file>